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29DF5" w14:textId="77777777" w:rsidR="005B2D24" w:rsidRPr="000D6098" w:rsidRDefault="005B2D24" w:rsidP="00402D4C">
      <w:pPr>
        <w:spacing w:after="0" w:line="240" w:lineRule="auto"/>
        <w:ind w:firstLine="567"/>
        <w:jc w:val="center"/>
        <w:rPr>
          <w:rFonts w:eastAsia="Times New Roman" w:cstheme="minorHAnsi"/>
          <w:b/>
          <w:lang w:eastAsia="ru-RU"/>
        </w:rPr>
      </w:pPr>
    </w:p>
    <w:p w14:paraId="38E29DF6" w14:textId="77777777" w:rsidR="006F548F" w:rsidRPr="000034DD" w:rsidRDefault="00F679B4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14:paraId="38E29DF7" w14:textId="77777777" w:rsidR="006F548F" w:rsidRPr="000034DD" w:rsidRDefault="00F679B4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о заключении договоров на оказание коммунальной услуги и начале предост</w:t>
      </w:r>
      <w:r w:rsidR="006D7B12">
        <w:rPr>
          <w:rFonts w:ascii="Arial" w:eastAsia="Times New Roman" w:hAnsi="Arial" w:cs="Arial"/>
          <w:b/>
          <w:sz w:val="20"/>
          <w:szCs w:val="20"/>
          <w:lang w:eastAsia="ru-RU"/>
        </w:rPr>
        <w:t>авления коммунальной услуги по электроэнергии</w:t>
      </w:r>
    </w:p>
    <w:p w14:paraId="38E29DF8" w14:textId="77777777" w:rsidR="006F548F" w:rsidRPr="000034DD" w:rsidRDefault="00F679B4" w:rsidP="006F548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proofErr w:type="spellEnd"/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организацией </w:t>
      </w:r>
      <w:r w:rsidR="006D7B12"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</w:p>
    <w:p w14:paraId="38E29DF9" w14:textId="77777777" w:rsidR="007B3F9C" w:rsidRPr="000034DD" w:rsidRDefault="007B3F9C" w:rsidP="00402D4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8E29DFA" w14:textId="77777777" w:rsidR="006C766B" w:rsidRPr="000034DD" w:rsidRDefault="00F679B4" w:rsidP="006C766B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На основани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и обращения управляющей компании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>УК Дома Атланта ООО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, в связи с принятием общим собранием собственников помещений МКД по адресу: 640014, Курганская область, г. Курган, ул. </w:t>
      </w:r>
      <w:r w:rsidR="001950E3">
        <w:rPr>
          <w:rFonts w:ascii="Arial" w:eastAsia="Times New Roman" w:hAnsi="Arial" w:cs="Arial"/>
          <w:sz w:val="20"/>
          <w:szCs w:val="20"/>
          <w:lang w:eastAsia="ru-RU"/>
        </w:rPr>
        <w:t xml:space="preserve">К. </w:t>
      </w:r>
      <w:proofErr w:type="spellStart"/>
      <w:r w:rsidR="001950E3">
        <w:rPr>
          <w:rFonts w:ascii="Arial" w:eastAsia="Times New Roman" w:hAnsi="Arial" w:cs="Arial"/>
          <w:sz w:val="20"/>
          <w:szCs w:val="20"/>
          <w:lang w:eastAsia="ru-RU"/>
        </w:rPr>
        <w:t>Мяготина</w:t>
      </w:r>
      <w:proofErr w:type="spell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, дом № </w:t>
      </w:r>
      <w:proofErr w:type="gramStart"/>
      <w:r w:rsidR="001950E3">
        <w:rPr>
          <w:rFonts w:ascii="Arial" w:eastAsia="Times New Roman" w:hAnsi="Arial" w:cs="Arial"/>
          <w:sz w:val="20"/>
          <w:szCs w:val="20"/>
          <w:lang w:eastAsia="ru-RU"/>
        </w:rPr>
        <w:t>168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 решения</w:t>
      </w:r>
      <w:proofErr w:type="gram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 заключении прямых договоров непосредственно с </w:t>
      </w:r>
      <w:proofErr w:type="spellStart"/>
      <w:r w:rsidRPr="000034DD">
        <w:rPr>
          <w:rFonts w:ascii="Arial" w:eastAsia="Times New Roman" w:hAnsi="Arial" w:cs="Arial"/>
          <w:sz w:val="20"/>
          <w:szCs w:val="20"/>
          <w:lang w:eastAsia="ru-RU"/>
        </w:rPr>
        <w:t>ресурсоснабжающими</w:t>
      </w:r>
      <w:proofErr w:type="spell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организациями, уведомляем о заключении с </w:t>
      </w:r>
      <w:r w:rsidR="00E03358" w:rsidRPr="000034DD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1.0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.2025 договоров на оказание коммунальной услуги и начале предоставления коммунальной услуги по 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>электроэнергии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 </w:t>
      </w:r>
      <w:proofErr w:type="spellStart"/>
      <w:r w:rsidRPr="000034DD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</w:t>
      </w:r>
      <w:r w:rsidR="006D7B12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</w:p>
    <w:p w14:paraId="38E29DFB" w14:textId="77777777" w:rsidR="000D6098" w:rsidRPr="000034DD" w:rsidRDefault="000D6098" w:rsidP="006C766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8E29DFC" w14:textId="77777777" w:rsidR="00F82AA3" w:rsidRPr="000034DD" w:rsidRDefault="00F679B4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0034DD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следующие сведения для расч</w:t>
      </w:r>
      <w:r w:rsidR="000D6098" w:rsidRPr="000034DD">
        <w:rPr>
          <w:rFonts w:ascii="Arial" w:eastAsia="Times New Roman" w:hAnsi="Arial" w:cs="Arial"/>
          <w:sz w:val="20"/>
          <w:szCs w:val="20"/>
          <w:lang w:eastAsia="ru-RU"/>
        </w:rPr>
        <w:t>ё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>та размера платы за коммунальную услугу:</w:t>
      </w:r>
    </w:p>
    <w:p w14:paraId="38E29DFD" w14:textId="77777777" w:rsidR="00F82AA3" w:rsidRPr="000034DD" w:rsidRDefault="00F82AA3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8E29DFE" w14:textId="77777777" w:rsidR="00F82AA3" w:rsidRPr="000034DD" w:rsidRDefault="00F679B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38E29DFF" w14:textId="77777777" w:rsidR="00F82AA3" w:rsidRPr="000034DD" w:rsidRDefault="00F679B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платы за коммунальные услуги в соответствии с действующим законодательством;</w:t>
      </w:r>
    </w:p>
    <w:p w14:paraId="38E29E00" w14:textId="77777777" w:rsidR="00F82AA3" w:rsidRPr="000034DD" w:rsidRDefault="00F679B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дате опломбирования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та, на основании показаний которых производится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 платы за коммунальные услуги, а также их показания за 12 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тных периодов, предшествующих дате предоставления таких сведений; </w:t>
      </w:r>
    </w:p>
    <w:p w14:paraId="38E29E01" w14:textId="77777777" w:rsidR="00F82AA3" w:rsidRPr="000034DD" w:rsidRDefault="00F679B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та в жилых помещениях многоквартирного дома; </w:t>
      </w:r>
    </w:p>
    <w:p w14:paraId="38E29E02" w14:textId="77777777" w:rsidR="00F82AA3" w:rsidRPr="000034DD" w:rsidRDefault="00F679B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proofErr w:type="spellStart"/>
      <w:r w:rsidRPr="000034DD">
        <w:rPr>
          <w:rFonts w:ascii="Arial" w:hAnsi="Arial" w:cs="Arial"/>
          <w:sz w:val="20"/>
          <w:szCs w:val="20"/>
        </w:rPr>
        <w:t>теплопотребляющих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14:paraId="38E29E03" w14:textId="77777777" w:rsidR="00F82AA3" w:rsidRPr="000034DD" w:rsidRDefault="00F679B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14:paraId="38E29E04" w14:textId="77777777" w:rsidR="00F82AA3" w:rsidRPr="000034DD" w:rsidRDefault="00F679B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 неполной оплаты потребителем коммунальной услуги в порядке и сроки, установленные законодательством, на дату предоставления сведений, а также сведения об устранении оснований для введения такого ограничения или приостановления; </w:t>
      </w:r>
    </w:p>
    <w:p w14:paraId="38E29E05" w14:textId="77777777" w:rsidR="00F82AA3" w:rsidRPr="000034DD" w:rsidRDefault="00F679B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сведения о случаях, периодах и об основаниях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>та размера платы за коммунальные услуги, предоставленные потребителю, копии документов, подтверждающих право потребителя на перерасч</w:t>
      </w:r>
      <w:r w:rsidR="00C62050" w:rsidRPr="000034DD">
        <w:rPr>
          <w:rFonts w:ascii="Arial" w:hAnsi="Arial" w:cs="Arial"/>
          <w:sz w:val="20"/>
          <w:szCs w:val="20"/>
        </w:rPr>
        <w:t>ё</w:t>
      </w:r>
      <w:r w:rsidRPr="000034DD">
        <w:rPr>
          <w:rFonts w:ascii="Arial" w:hAnsi="Arial" w:cs="Arial"/>
          <w:sz w:val="20"/>
          <w:szCs w:val="20"/>
        </w:rPr>
        <w:t xml:space="preserve">т размера платы за предыдущие 12 месяцев; </w:t>
      </w:r>
    </w:p>
    <w:p w14:paraId="38E29E06" w14:textId="77777777" w:rsidR="00F82AA3" w:rsidRPr="000034DD" w:rsidRDefault="00F679B4" w:rsidP="00402D4C">
      <w:pPr>
        <w:pStyle w:val="a3"/>
        <w:numPr>
          <w:ilvl w:val="0"/>
          <w:numId w:val="11"/>
        </w:numPr>
        <w:tabs>
          <w:tab w:val="left" w:pos="284"/>
          <w:tab w:val="left" w:pos="993"/>
        </w:tabs>
        <w:spacing w:before="0" w:beforeAutospacing="0" w:after="0" w:afterAutospacing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14:paraId="38E29E07" w14:textId="77777777" w:rsidR="00F82AA3" w:rsidRPr="000034DD" w:rsidRDefault="00F82AA3" w:rsidP="00402D4C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 w:firstLine="567"/>
        <w:jc w:val="both"/>
        <w:rPr>
          <w:rFonts w:ascii="Arial" w:hAnsi="Arial" w:cs="Arial"/>
          <w:i/>
          <w:sz w:val="20"/>
          <w:szCs w:val="20"/>
        </w:rPr>
      </w:pPr>
    </w:p>
    <w:p w14:paraId="38E29E08" w14:textId="77777777" w:rsidR="00402D4C" w:rsidRPr="000034DD" w:rsidRDefault="00402D4C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14:paraId="38E29E09" w14:textId="77777777" w:rsidR="00402D4C" w:rsidRPr="000034DD" w:rsidRDefault="00402D4C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</w:p>
    <w:p w14:paraId="38E29E0A" w14:textId="77777777" w:rsidR="003D40D4" w:rsidRPr="000034DD" w:rsidRDefault="00F679B4" w:rsidP="00402D4C">
      <w:pPr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Адреса ц</w:t>
      </w:r>
      <w:r w:rsidR="009F4372" w:rsidRPr="000034DD">
        <w:rPr>
          <w:rFonts w:ascii="Arial" w:hAnsi="Arial" w:cs="Arial"/>
          <w:b/>
          <w:sz w:val="20"/>
          <w:szCs w:val="20"/>
        </w:rPr>
        <w:t>ентр</w:t>
      </w:r>
      <w:r w:rsidRPr="000034DD">
        <w:rPr>
          <w:rFonts w:ascii="Arial" w:hAnsi="Arial" w:cs="Arial"/>
          <w:b/>
          <w:sz w:val="20"/>
          <w:szCs w:val="20"/>
        </w:rPr>
        <w:t>ов</w:t>
      </w:r>
      <w:r w:rsidR="009F4372" w:rsidRPr="000034DD">
        <w:rPr>
          <w:rFonts w:ascii="Arial" w:hAnsi="Arial" w:cs="Arial"/>
          <w:b/>
          <w:sz w:val="20"/>
          <w:szCs w:val="20"/>
        </w:rPr>
        <w:t xml:space="preserve"> очного обслуживания клиентов</w:t>
      </w:r>
      <w:r w:rsidRPr="000034DD">
        <w:rPr>
          <w:rFonts w:ascii="Arial" w:hAnsi="Arial" w:cs="Arial"/>
          <w:b/>
          <w:sz w:val="20"/>
          <w:szCs w:val="20"/>
        </w:rPr>
        <w:t xml:space="preserve"> в г. Кургане</w:t>
      </w:r>
      <w:r w:rsidR="009F4372" w:rsidRPr="000034DD">
        <w:rPr>
          <w:rFonts w:ascii="Arial" w:hAnsi="Arial" w:cs="Arial"/>
          <w:b/>
          <w:sz w:val="20"/>
          <w:szCs w:val="20"/>
        </w:rPr>
        <w:t>:</w:t>
      </w:r>
    </w:p>
    <w:p w14:paraId="38E29E0B" w14:textId="3BB87E2B" w:rsidR="00C62050" w:rsidRPr="000034DD" w:rsidRDefault="00F679B4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г. Курган, ул. К. </w:t>
      </w:r>
      <w:proofErr w:type="spellStart"/>
      <w:r w:rsidRPr="000034DD">
        <w:rPr>
          <w:rFonts w:ascii="Arial" w:hAnsi="Arial" w:cs="Arial"/>
          <w:sz w:val="20"/>
          <w:szCs w:val="20"/>
        </w:rPr>
        <w:t>Мяготина</w:t>
      </w:r>
      <w:proofErr w:type="spellEnd"/>
      <w:r w:rsidRPr="000034DD">
        <w:rPr>
          <w:rFonts w:ascii="Arial" w:hAnsi="Arial" w:cs="Arial"/>
          <w:sz w:val="20"/>
          <w:szCs w:val="20"/>
        </w:rPr>
        <w:t>, 60А</w:t>
      </w:r>
      <w:r w:rsidR="0067614C">
        <w:rPr>
          <w:rFonts w:ascii="Arial" w:hAnsi="Arial" w:cs="Arial"/>
          <w:sz w:val="20"/>
          <w:szCs w:val="20"/>
        </w:rPr>
        <w:t xml:space="preserve"> </w:t>
      </w:r>
      <w:r w:rsidR="0067614C">
        <w:rPr>
          <w:rFonts w:ascii="Arial" w:hAnsi="Arial" w:cs="Arial"/>
          <w:sz w:val="20"/>
          <w:szCs w:val="20"/>
        </w:rPr>
        <w:t>(офис закрыт на ремонт с 15 июня по 1 сентября 2025г.)</w:t>
      </w:r>
      <w:r w:rsidRPr="000034DD">
        <w:rPr>
          <w:rFonts w:ascii="Arial" w:hAnsi="Arial" w:cs="Arial"/>
          <w:sz w:val="20"/>
          <w:szCs w:val="20"/>
        </w:rPr>
        <w:t>;</w:t>
      </w:r>
    </w:p>
    <w:p w14:paraId="38E29E0C" w14:textId="77777777" w:rsidR="00C62050" w:rsidRPr="000034DD" w:rsidRDefault="00F679B4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Пролетарская, 39/I;</w:t>
      </w:r>
    </w:p>
    <w:p w14:paraId="38E29E0D" w14:textId="1F0AD392" w:rsidR="00C62050" w:rsidRPr="000034DD" w:rsidRDefault="00F679B4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Гагарина, 7;</w:t>
      </w:r>
    </w:p>
    <w:p w14:paraId="38E29E0E" w14:textId="77777777" w:rsidR="00C62050" w:rsidRPr="000034DD" w:rsidRDefault="00F679B4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Советская, 94;</w:t>
      </w:r>
      <w:bookmarkStart w:id="0" w:name="_GoBack"/>
      <w:bookmarkEnd w:id="0"/>
    </w:p>
    <w:p w14:paraId="38E29E0F" w14:textId="77777777" w:rsidR="00C62050" w:rsidRPr="000034DD" w:rsidRDefault="00F679B4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lastRenderedPageBreak/>
        <w:t>г. Курган, ул. Дзержинского, 2Д;</w:t>
      </w:r>
    </w:p>
    <w:p w14:paraId="38E29E10" w14:textId="77777777" w:rsidR="00C62050" w:rsidRPr="000034DD" w:rsidRDefault="00F679B4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ул. Техническая, 17;</w:t>
      </w:r>
    </w:p>
    <w:p w14:paraId="38E29E11" w14:textId="77777777" w:rsidR="00C62050" w:rsidRPr="000034DD" w:rsidRDefault="00F679B4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г. Курган, ул. </w:t>
      </w:r>
      <w:proofErr w:type="spellStart"/>
      <w:r w:rsidRPr="000034DD">
        <w:rPr>
          <w:rFonts w:ascii="Arial" w:hAnsi="Arial" w:cs="Arial"/>
          <w:sz w:val="20"/>
          <w:szCs w:val="20"/>
        </w:rPr>
        <w:t>Карбышева</w:t>
      </w:r>
      <w:proofErr w:type="spellEnd"/>
      <w:r w:rsidRPr="000034DD">
        <w:rPr>
          <w:rFonts w:ascii="Arial" w:hAnsi="Arial" w:cs="Arial"/>
          <w:sz w:val="20"/>
          <w:szCs w:val="20"/>
        </w:rPr>
        <w:t>, 44В;</w:t>
      </w:r>
    </w:p>
    <w:p w14:paraId="38E29E12" w14:textId="77777777" w:rsidR="00C62050" w:rsidRPr="000034DD" w:rsidRDefault="00F679B4" w:rsidP="00402D4C">
      <w:pPr>
        <w:pStyle w:val="af0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г. Курган, 5 микрорайон, 35А</w:t>
      </w:r>
      <w:r w:rsidR="00DF7684" w:rsidRPr="000034DD">
        <w:rPr>
          <w:rFonts w:ascii="Arial" w:hAnsi="Arial" w:cs="Arial"/>
          <w:sz w:val="20"/>
          <w:szCs w:val="20"/>
        </w:rPr>
        <w:t>.</w:t>
      </w:r>
      <w:r w:rsidRPr="000034DD">
        <w:rPr>
          <w:rFonts w:ascii="Arial" w:hAnsi="Arial" w:cs="Arial"/>
          <w:sz w:val="20"/>
          <w:szCs w:val="20"/>
        </w:rPr>
        <w:t> </w:t>
      </w:r>
    </w:p>
    <w:p w14:paraId="38E29E13" w14:textId="77777777" w:rsidR="00DF7684" w:rsidRPr="000034DD" w:rsidRDefault="00F679B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С актуальным режимом работы офисов</w:t>
      </w:r>
      <w:r w:rsidR="003C46FB" w:rsidRPr="000034D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46FB"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="003C46FB"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hAnsi="Arial" w:cs="Arial"/>
          <w:sz w:val="20"/>
          <w:szCs w:val="20"/>
        </w:rPr>
        <w:t xml:space="preserve"> можно </w:t>
      </w:r>
      <w:proofErr w:type="spellStart"/>
      <w:r w:rsidRPr="000034DD">
        <w:rPr>
          <w:rFonts w:ascii="Arial" w:hAnsi="Arial" w:cs="Arial"/>
          <w:sz w:val="20"/>
          <w:szCs w:val="20"/>
        </w:rPr>
        <w:t>ознакомитьтся</w:t>
      </w:r>
      <w:proofErr w:type="spellEnd"/>
      <w:r w:rsidRPr="000034DD">
        <w:rPr>
          <w:rFonts w:ascii="Arial" w:hAnsi="Arial" w:cs="Arial"/>
          <w:sz w:val="20"/>
          <w:szCs w:val="20"/>
        </w:rPr>
        <w:t xml:space="preserve"> на сайте</w:t>
      </w:r>
      <w:r w:rsidR="000D6098" w:rsidRPr="000034DD">
        <w:rPr>
          <w:rFonts w:ascii="Arial" w:hAnsi="Arial" w:cs="Arial"/>
          <w:sz w:val="20"/>
          <w:szCs w:val="20"/>
        </w:rPr>
        <w:t xml:space="preserve"> </w:t>
      </w:r>
      <w:r w:rsidRPr="000034DD">
        <w:rPr>
          <w:rFonts w:ascii="Arial" w:hAnsi="Arial" w:cs="Arial"/>
          <w:sz w:val="20"/>
          <w:szCs w:val="20"/>
        </w:rPr>
        <w:t xml:space="preserve">в разделе </w:t>
      </w:r>
      <w:hyperlink r:id="rId8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Офисы обслуживания клиентов»</w:t>
        </w:r>
      </w:hyperlink>
      <w:r w:rsidRPr="000034DD">
        <w:rPr>
          <w:rFonts w:ascii="Arial" w:hAnsi="Arial" w:cs="Arial"/>
          <w:sz w:val="20"/>
          <w:szCs w:val="20"/>
        </w:rPr>
        <w:t>.</w:t>
      </w:r>
      <w:r w:rsidR="00A72CAF" w:rsidRPr="000034DD">
        <w:rPr>
          <w:rFonts w:ascii="Arial" w:hAnsi="Arial" w:cs="Arial"/>
          <w:sz w:val="20"/>
          <w:szCs w:val="20"/>
        </w:rPr>
        <w:t xml:space="preserve"> </w:t>
      </w:r>
    </w:p>
    <w:p w14:paraId="38E29E14" w14:textId="77777777" w:rsidR="00DF7684" w:rsidRPr="000034DD" w:rsidRDefault="00DF768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38E29E15" w14:textId="77777777" w:rsidR="00A72CAF" w:rsidRPr="000034DD" w:rsidRDefault="00F679B4" w:rsidP="00DF7684">
      <w:pPr>
        <w:spacing w:after="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 xml:space="preserve">Согласно действующему </w:t>
      </w:r>
      <w:proofErr w:type="gramStart"/>
      <w:r w:rsidRPr="000034DD">
        <w:rPr>
          <w:rFonts w:ascii="Arial" w:hAnsi="Arial" w:cs="Arial"/>
          <w:sz w:val="20"/>
          <w:szCs w:val="20"/>
        </w:rPr>
        <w:t>законодательству  плата</w:t>
      </w:r>
      <w:proofErr w:type="gramEnd"/>
      <w:r w:rsidRPr="000034DD">
        <w:rPr>
          <w:rFonts w:ascii="Arial" w:hAnsi="Arial" w:cs="Arial"/>
          <w:sz w:val="20"/>
          <w:szCs w:val="20"/>
        </w:rPr>
        <w:t xml:space="preserve"> за коммунальные услуги вносится ежемесячно до 10 числа месяца, следующего за истекшим месяцем, если иной срок не установлен договором управления многоквартирным домом или решением общего собрания членов ТСЖ или жилищного кооператива.</w:t>
      </w:r>
    </w:p>
    <w:p w14:paraId="38E29E16" w14:textId="77777777" w:rsidR="00DF7684" w:rsidRPr="000034DD" w:rsidRDefault="00F679B4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38E29E17" w14:textId="77777777" w:rsidR="000D6098" w:rsidRPr="000034DD" w:rsidRDefault="00F679B4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sz w:val="20"/>
          <w:szCs w:val="20"/>
          <w:lang w:eastAsia="ru-RU"/>
        </w:rPr>
        <w:t>Со всеми способами оплаты коммунальных услуг можно ознакомиться на сайте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="00A72CAF"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="00A72CAF"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в разделе </w:t>
      </w:r>
      <w:hyperlink r:id="rId9" w:history="1">
        <w:r w:rsidRPr="000034DD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«Клиентам – Физическим лицам – Способы оплаты»</w:t>
        </w:r>
      </w:hyperlink>
      <w:r w:rsidRPr="000034D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A72CAF" w:rsidRPr="000034D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38E29E18" w14:textId="77777777" w:rsidR="000D6098" w:rsidRPr="000034DD" w:rsidRDefault="000D6098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38E29E19" w14:textId="77777777" w:rsidR="001432B9" w:rsidRPr="000034DD" w:rsidRDefault="00F679B4" w:rsidP="00402D4C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та </w:t>
      </w:r>
      <w:proofErr w:type="spellStart"/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м</w:t>
      </w:r>
      <w:proofErr w:type="spellEnd"/>
      <w:r w:rsidR="009457C3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917A75" w:rsidRPr="000034DD">
        <w:rPr>
          <w:rFonts w:ascii="Arial" w:eastAsia="Times New Roman" w:hAnsi="Arial" w:cs="Arial"/>
          <w:b/>
          <w:sz w:val="20"/>
          <w:szCs w:val="20"/>
          <w:lang w:eastAsia="ru-RU"/>
        </w:rPr>
        <w:t>ям</w:t>
      </w:r>
    </w:p>
    <w:p w14:paraId="38E29E1A" w14:textId="77777777" w:rsidR="000D6098" w:rsidRPr="000034DD" w:rsidRDefault="000D6098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38E29E1B" w14:textId="77777777" w:rsidR="00A72CAF" w:rsidRPr="000034DD" w:rsidRDefault="00F679B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="00CF013E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="002C0C6F" w:rsidRPr="000034DD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 Рекомендуем потребителям ежемесячно передавать показания приборов уч</w:t>
      </w:r>
      <w:r w:rsidR="00C13747" w:rsidRPr="000034DD">
        <w:rPr>
          <w:rFonts w:ascii="Arial" w:hAnsi="Arial" w:cs="Arial"/>
          <w:color w:val="21262B"/>
          <w:sz w:val="20"/>
          <w:szCs w:val="20"/>
        </w:rPr>
        <w:t>ё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та с 15 по 25 число текущего месяца. </w:t>
      </w:r>
    </w:p>
    <w:p w14:paraId="38E29E1C" w14:textId="77777777" w:rsidR="00A72CAF" w:rsidRPr="000034DD" w:rsidRDefault="00A72CAF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38E29E1D" w14:textId="77777777" w:rsidR="000D6098" w:rsidRPr="000034DD" w:rsidRDefault="00F679B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0034DD">
        <w:rPr>
          <w:rFonts w:ascii="Arial" w:hAnsi="Arial" w:cs="Arial"/>
          <w:color w:val="21262B"/>
          <w:sz w:val="20"/>
          <w:szCs w:val="20"/>
        </w:rPr>
        <w:t>Со всеми способами передачи показаний проборов учёта можно ознакомиться на сайте</w:t>
      </w:r>
      <w:r w:rsidR="00917A75" w:rsidRPr="000034DD">
        <w:rPr>
          <w:rFonts w:ascii="Arial" w:hAnsi="Arial" w:cs="Arial"/>
          <w:color w:val="21262B"/>
          <w:sz w:val="20"/>
          <w:szCs w:val="20"/>
        </w:rPr>
        <w:t xml:space="preserve"> </w:t>
      </w:r>
      <w:proofErr w:type="spellStart"/>
      <w:r w:rsidR="00917A75" w:rsidRPr="000034DD">
        <w:rPr>
          <w:rFonts w:ascii="Arial" w:hAnsi="Arial" w:cs="Arial"/>
          <w:sz w:val="20"/>
          <w:szCs w:val="20"/>
        </w:rPr>
        <w:t>Энергосбытовой</w:t>
      </w:r>
      <w:proofErr w:type="spellEnd"/>
      <w:r w:rsidR="00917A75" w:rsidRPr="000034DD">
        <w:rPr>
          <w:rFonts w:ascii="Arial" w:hAnsi="Arial" w:cs="Arial"/>
          <w:sz w:val="20"/>
          <w:szCs w:val="20"/>
        </w:rPr>
        <w:t xml:space="preserve"> компании «Восток»</w:t>
      </w:r>
      <w:r w:rsidRPr="000034DD">
        <w:rPr>
          <w:rFonts w:ascii="Arial" w:hAnsi="Arial" w:cs="Arial"/>
          <w:color w:val="21262B"/>
          <w:sz w:val="20"/>
          <w:szCs w:val="20"/>
        </w:rPr>
        <w:t xml:space="preserve"> в разделе </w:t>
      </w:r>
      <w:hyperlink r:id="rId10" w:history="1">
        <w:r w:rsidRPr="000034DD">
          <w:rPr>
            <w:rStyle w:val="a4"/>
            <w:rFonts w:ascii="Arial" w:hAnsi="Arial" w:cs="Arial"/>
            <w:sz w:val="20"/>
            <w:szCs w:val="20"/>
          </w:rPr>
          <w:t>«Клиентам – Физическим лицам – Способы передачи приборов учёта электроэнергии»</w:t>
        </w:r>
      </w:hyperlink>
      <w:r w:rsidRPr="000034DD">
        <w:rPr>
          <w:rFonts w:ascii="Arial" w:hAnsi="Arial" w:cs="Arial"/>
          <w:color w:val="21262B"/>
          <w:sz w:val="20"/>
          <w:szCs w:val="20"/>
        </w:rPr>
        <w:t xml:space="preserve">. </w:t>
      </w:r>
    </w:p>
    <w:p w14:paraId="38E29E1E" w14:textId="77777777" w:rsidR="00AC5104" w:rsidRPr="000034DD" w:rsidRDefault="00AC5104" w:rsidP="00402D4C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38E29E1F" w14:textId="77777777" w:rsidR="00C62050" w:rsidRPr="000034DD" w:rsidRDefault="00F679B4" w:rsidP="00A72CAF">
      <w:pPr>
        <w:ind w:firstLine="567"/>
        <w:rPr>
          <w:rFonts w:ascii="Arial" w:hAnsi="Arial" w:cs="Arial"/>
          <w:b/>
          <w:sz w:val="20"/>
          <w:szCs w:val="20"/>
        </w:rPr>
      </w:pPr>
      <w:r w:rsidRPr="000034DD">
        <w:rPr>
          <w:rFonts w:ascii="Arial" w:hAnsi="Arial" w:cs="Arial"/>
          <w:b/>
          <w:sz w:val="20"/>
          <w:szCs w:val="20"/>
        </w:rPr>
        <w:t>Реквизиты для оплаты безналичным расчётом с 21 ноября 2022 г.:</w:t>
      </w:r>
    </w:p>
    <w:p w14:paraId="38E29E20" w14:textId="77777777" w:rsidR="00C62050" w:rsidRPr="000034DD" w:rsidRDefault="00F679B4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Получатель платежа: АО «ЭК «Восток» </w:t>
      </w:r>
    </w:p>
    <w:p w14:paraId="38E29E21" w14:textId="77777777" w:rsidR="00917A75" w:rsidRPr="000034DD" w:rsidRDefault="00F679B4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ИНН 7705424509 </w:t>
      </w:r>
    </w:p>
    <w:p w14:paraId="38E29E22" w14:textId="77777777" w:rsidR="00C62050" w:rsidRPr="000034DD" w:rsidRDefault="00F679B4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КПП 770401001</w:t>
      </w:r>
    </w:p>
    <w:p w14:paraId="38E29E23" w14:textId="77777777" w:rsidR="00C62050" w:rsidRPr="000034DD" w:rsidRDefault="00F679B4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АО КБ «АГРОПРОМКРЕДИТ»</w:t>
      </w:r>
    </w:p>
    <w:p w14:paraId="38E29E24" w14:textId="77777777" w:rsidR="00C62050" w:rsidRPr="000034DD" w:rsidRDefault="00F679B4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БИК 044525710</w:t>
      </w:r>
    </w:p>
    <w:p w14:paraId="38E29E25" w14:textId="77777777" w:rsidR="00C62050" w:rsidRPr="000034DD" w:rsidRDefault="00F679B4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Корреспондентский счёт 30101810545250000710</w:t>
      </w:r>
    </w:p>
    <w:p w14:paraId="38E29E26" w14:textId="77777777" w:rsidR="00C62050" w:rsidRPr="000034DD" w:rsidRDefault="00F679B4" w:rsidP="00DF7684">
      <w:pPr>
        <w:ind w:firstLine="567"/>
        <w:rPr>
          <w:rFonts w:ascii="Arial" w:hAnsi="Arial" w:cs="Arial"/>
          <w:sz w:val="20"/>
          <w:szCs w:val="20"/>
        </w:rPr>
      </w:pPr>
      <w:r w:rsidRPr="000034DD">
        <w:rPr>
          <w:rFonts w:ascii="Arial" w:hAnsi="Arial" w:cs="Arial"/>
          <w:sz w:val="20"/>
          <w:szCs w:val="20"/>
        </w:rPr>
        <w:t>Расчётный счёт 40702810640000000413</w:t>
      </w:r>
    </w:p>
    <w:p w14:paraId="38E29E27" w14:textId="77777777" w:rsidR="002C0C6F" w:rsidRPr="000034DD" w:rsidRDefault="002C0C6F" w:rsidP="00DF7684">
      <w:pPr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</w:p>
    <w:sectPr w:rsidR="002C0C6F" w:rsidRPr="000034DD" w:rsidSect="00EC3441">
      <w:footerReference w:type="even" r:id="rId11"/>
      <w:footerReference w:type="default" r:id="rId12"/>
      <w:footerReference w:type="first" r:id="rId13"/>
      <w:pgSz w:w="11906" w:h="16838"/>
      <w:pgMar w:top="426" w:right="850" w:bottom="1134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29E30" w14:textId="77777777" w:rsidR="00050437" w:rsidRDefault="00F679B4">
      <w:pPr>
        <w:spacing w:after="0" w:line="240" w:lineRule="auto"/>
      </w:pPr>
      <w:r>
        <w:separator/>
      </w:r>
    </w:p>
  </w:endnote>
  <w:endnote w:type="continuationSeparator" w:id="0">
    <w:p w14:paraId="38E29E32" w14:textId="77777777" w:rsidR="00050437" w:rsidRDefault="00F6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29E28" w14:textId="77777777" w:rsidR="00F05388" w:rsidRDefault="0067614C">
    <w:r>
      <w:pict w14:anchorId="38E29E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8E29E29" w14:textId="0BD3E7DA" w:rsidR="00843361" w:rsidRPr="002C0C6F" w:rsidRDefault="00F679B4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67614C"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14:paraId="38E29E2A" w14:textId="77777777" w:rsidR="00F05388" w:rsidRDefault="00F0538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29E2B" w14:textId="77777777" w:rsidR="00F05388" w:rsidRDefault="0067614C">
    <w:r>
      <w:pict w14:anchorId="38E29E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3102" style="position:absolute;margin-left:0;margin-top:0;width:329pt;height:14pt;z-index:251659264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29E2C" w14:textId="77777777" w:rsidR="00050437" w:rsidRDefault="00F679B4">
      <w:pPr>
        <w:spacing w:after="0" w:line="240" w:lineRule="auto"/>
      </w:pPr>
      <w:r>
        <w:separator/>
      </w:r>
    </w:p>
  </w:footnote>
  <w:footnote w:type="continuationSeparator" w:id="0">
    <w:p w14:paraId="38E29E2E" w14:textId="77777777" w:rsidR="00050437" w:rsidRDefault="00F67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E2664"/>
    <w:multiLevelType w:val="multilevel"/>
    <w:tmpl w:val="20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A2E47"/>
    <w:multiLevelType w:val="hybridMultilevel"/>
    <w:tmpl w:val="EA16D7A2"/>
    <w:lvl w:ilvl="0" w:tplc="6C880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80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921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407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0B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E9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CB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6AF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908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D638D4"/>
    <w:multiLevelType w:val="hybridMultilevel"/>
    <w:tmpl w:val="C2ACBCFA"/>
    <w:lvl w:ilvl="0" w:tplc="FAC626D6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2F96FFA4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B2A391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6EA424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77DCD85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D9F62B7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8FA503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D86AA0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B98B15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B437C23"/>
    <w:multiLevelType w:val="hybridMultilevel"/>
    <w:tmpl w:val="AC9EA1C0"/>
    <w:lvl w:ilvl="0" w:tplc="BCBE8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EE9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A6C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00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2D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B09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E3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4A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0EE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6660A"/>
    <w:multiLevelType w:val="hybridMultilevel"/>
    <w:tmpl w:val="AE28CC10"/>
    <w:lvl w:ilvl="0" w:tplc="016E4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C6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891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66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EFB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AA3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0F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E9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DE9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52E6F"/>
    <w:multiLevelType w:val="hybridMultilevel"/>
    <w:tmpl w:val="7B96CD1A"/>
    <w:lvl w:ilvl="0" w:tplc="31A6F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605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AABF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40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E8F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3CDF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6A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01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86F6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26DF"/>
    <w:multiLevelType w:val="hybridMultilevel"/>
    <w:tmpl w:val="D4DEC0BA"/>
    <w:lvl w:ilvl="0" w:tplc="6478D5A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8910CAB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6626387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9B9AE43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D028FE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DFC992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4A20E2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98A71D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D592D3D6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D0F33EE"/>
    <w:multiLevelType w:val="hybridMultilevel"/>
    <w:tmpl w:val="50AC6CBE"/>
    <w:lvl w:ilvl="0" w:tplc="48D806B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5D2286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F1A11B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1D8A98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5D08E1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9C6EEE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332B04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B786EE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F84914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A35A68"/>
    <w:multiLevelType w:val="hybridMultilevel"/>
    <w:tmpl w:val="B27248B2"/>
    <w:lvl w:ilvl="0" w:tplc="11C89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C4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6A32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2F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8E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5C3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6AC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02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5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4DD"/>
    <w:rsid w:val="00027D97"/>
    <w:rsid w:val="00050437"/>
    <w:rsid w:val="00057FC3"/>
    <w:rsid w:val="0007226E"/>
    <w:rsid w:val="00093712"/>
    <w:rsid w:val="000A4097"/>
    <w:rsid w:val="000D6098"/>
    <w:rsid w:val="000F2AA1"/>
    <w:rsid w:val="001372F7"/>
    <w:rsid w:val="001432B9"/>
    <w:rsid w:val="00160D8F"/>
    <w:rsid w:val="001950E3"/>
    <w:rsid w:val="001D1E90"/>
    <w:rsid w:val="001E6816"/>
    <w:rsid w:val="001F25FD"/>
    <w:rsid w:val="00293838"/>
    <w:rsid w:val="002C00B8"/>
    <w:rsid w:val="002C0C6F"/>
    <w:rsid w:val="002E4167"/>
    <w:rsid w:val="002E4336"/>
    <w:rsid w:val="00321BCF"/>
    <w:rsid w:val="00361D1F"/>
    <w:rsid w:val="003A337E"/>
    <w:rsid w:val="003C46FB"/>
    <w:rsid w:val="003D40D4"/>
    <w:rsid w:val="003F49FF"/>
    <w:rsid w:val="00402D4C"/>
    <w:rsid w:val="0042425D"/>
    <w:rsid w:val="00442F5B"/>
    <w:rsid w:val="004940C6"/>
    <w:rsid w:val="004B5DBA"/>
    <w:rsid w:val="004D3B34"/>
    <w:rsid w:val="004E7D84"/>
    <w:rsid w:val="004F31E7"/>
    <w:rsid w:val="004F3AF3"/>
    <w:rsid w:val="0054232E"/>
    <w:rsid w:val="005969DE"/>
    <w:rsid w:val="005B2D24"/>
    <w:rsid w:val="005B6A84"/>
    <w:rsid w:val="005C47A9"/>
    <w:rsid w:val="005D651A"/>
    <w:rsid w:val="005E7B28"/>
    <w:rsid w:val="00603B27"/>
    <w:rsid w:val="00605498"/>
    <w:rsid w:val="006243A0"/>
    <w:rsid w:val="006561B0"/>
    <w:rsid w:val="00660B01"/>
    <w:rsid w:val="00674323"/>
    <w:rsid w:val="0067614C"/>
    <w:rsid w:val="006C766B"/>
    <w:rsid w:val="006D1086"/>
    <w:rsid w:val="006D7B12"/>
    <w:rsid w:val="006F548F"/>
    <w:rsid w:val="00734994"/>
    <w:rsid w:val="0073501E"/>
    <w:rsid w:val="00746BD7"/>
    <w:rsid w:val="007746A9"/>
    <w:rsid w:val="007B3F9C"/>
    <w:rsid w:val="007F2696"/>
    <w:rsid w:val="007F31B0"/>
    <w:rsid w:val="00843361"/>
    <w:rsid w:val="00891D93"/>
    <w:rsid w:val="008A7DA0"/>
    <w:rsid w:val="008B1742"/>
    <w:rsid w:val="008C59F8"/>
    <w:rsid w:val="008D3143"/>
    <w:rsid w:val="008D7D6B"/>
    <w:rsid w:val="008E50CD"/>
    <w:rsid w:val="00917A75"/>
    <w:rsid w:val="009457C3"/>
    <w:rsid w:val="00947A99"/>
    <w:rsid w:val="00957983"/>
    <w:rsid w:val="009B2BF7"/>
    <w:rsid w:val="009C4129"/>
    <w:rsid w:val="009D39C5"/>
    <w:rsid w:val="009E54CF"/>
    <w:rsid w:val="009F4372"/>
    <w:rsid w:val="00A72CAF"/>
    <w:rsid w:val="00AB58C7"/>
    <w:rsid w:val="00AC5104"/>
    <w:rsid w:val="00AD47CE"/>
    <w:rsid w:val="00AE3600"/>
    <w:rsid w:val="00B02A49"/>
    <w:rsid w:val="00B15B8F"/>
    <w:rsid w:val="00B21F01"/>
    <w:rsid w:val="00B35081"/>
    <w:rsid w:val="00B769F0"/>
    <w:rsid w:val="00BD2CD7"/>
    <w:rsid w:val="00BF093F"/>
    <w:rsid w:val="00C07F30"/>
    <w:rsid w:val="00C13747"/>
    <w:rsid w:val="00C52788"/>
    <w:rsid w:val="00C62050"/>
    <w:rsid w:val="00C7037E"/>
    <w:rsid w:val="00C834B5"/>
    <w:rsid w:val="00CA5738"/>
    <w:rsid w:val="00CC6065"/>
    <w:rsid w:val="00CE4403"/>
    <w:rsid w:val="00CF013E"/>
    <w:rsid w:val="00CF7011"/>
    <w:rsid w:val="00D04BFA"/>
    <w:rsid w:val="00D4747A"/>
    <w:rsid w:val="00D7436F"/>
    <w:rsid w:val="00DC703C"/>
    <w:rsid w:val="00DD45E2"/>
    <w:rsid w:val="00DF7684"/>
    <w:rsid w:val="00E03358"/>
    <w:rsid w:val="00E5779B"/>
    <w:rsid w:val="00EC3441"/>
    <w:rsid w:val="00F0040B"/>
    <w:rsid w:val="00F05388"/>
    <w:rsid w:val="00F26BA7"/>
    <w:rsid w:val="00F679B4"/>
    <w:rsid w:val="00F82AA3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38E29DF5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  <w:style w:type="character" w:styleId="af1">
    <w:name w:val="Strong"/>
    <w:basedOn w:val="a0"/>
    <w:uiPriority w:val="22"/>
    <w:qFormat/>
    <w:rsid w:val="00C6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gan.vostok-electra.ru/clients/physical-persons/service-offic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urgan.vostok-electra.ru/clients/physical-persons/the-modes-of-transmission-of-meter-readings-of-the-electric-po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rgan.vostok-electra.ru/clients/physical-persons/payment-method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CD49E-9492-4B92-8636-6AE4AA2D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Шведова Ирина Игоревна</cp:lastModifiedBy>
  <cp:revision>3</cp:revision>
  <dcterms:created xsi:type="dcterms:W3CDTF">2025-06-25T05:00:00Z</dcterms:created>
  <dcterms:modified xsi:type="dcterms:W3CDTF">2025-06-25T05:06:00Z</dcterms:modified>
</cp:coreProperties>
</file>